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C4" w:rsidRDefault="0001620C" w:rsidP="0001620C">
      <w:pPr>
        <w:spacing w:before="0" w:after="0" w:line="240" w:lineRule="auto"/>
        <w:jc w:val="center"/>
        <w:rPr>
          <w:b/>
        </w:rPr>
      </w:pPr>
      <w:r w:rsidRPr="0001620C">
        <w:rPr>
          <w:b/>
        </w:rPr>
        <w:t>TÀI LIỆU TUYÊN TRUYỀN</w:t>
      </w:r>
    </w:p>
    <w:p w:rsidR="007E379F" w:rsidRPr="0001620C" w:rsidRDefault="007E379F" w:rsidP="0001620C">
      <w:pPr>
        <w:spacing w:before="0" w:after="0" w:line="240" w:lineRule="auto"/>
        <w:jc w:val="center"/>
        <w:rPr>
          <w:b/>
        </w:rPr>
      </w:pPr>
      <w:r>
        <w:rPr>
          <w:b/>
        </w:rPr>
        <w:t>MỘT SỐ NỘI DUNG QUAN TRỌNG CỦA</w:t>
      </w:r>
    </w:p>
    <w:p w:rsidR="0001620C" w:rsidRPr="0001620C" w:rsidRDefault="0001620C" w:rsidP="0001620C">
      <w:pPr>
        <w:spacing w:before="0" w:after="0" w:line="240" w:lineRule="auto"/>
        <w:jc w:val="center"/>
        <w:rPr>
          <w:b/>
        </w:rPr>
      </w:pPr>
      <w:r w:rsidRPr="0001620C">
        <w:rPr>
          <w:b/>
        </w:rPr>
        <w:t xml:space="preserve">NGHỊ QUYẾT HỘI NGHỊ LẦN THỨ 7, BAN CHẤP HÀNH </w:t>
      </w:r>
    </w:p>
    <w:p w:rsidR="0001620C" w:rsidRDefault="0001620C" w:rsidP="0001620C">
      <w:pPr>
        <w:spacing w:before="0" w:after="0" w:line="240" w:lineRule="auto"/>
        <w:jc w:val="center"/>
        <w:rPr>
          <w:b/>
        </w:rPr>
      </w:pPr>
      <w:r w:rsidRPr="0001620C">
        <w:rPr>
          <w:b/>
        </w:rPr>
        <w:t>TRUNG ƯƠNG ĐẢNG KHÓA XII</w:t>
      </w:r>
    </w:p>
    <w:p w:rsidR="0001620C" w:rsidRDefault="0001620C" w:rsidP="0001620C"/>
    <w:p w:rsidR="0001620C" w:rsidRDefault="0001620C" w:rsidP="0001620C">
      <w:pPr>
        <w:ind w:firstLine="720"/>
        <w:jc w:val="both"/>
        <w:rPr>
          <w:sz w:val="27"/>
          <w:szCs w:val="27"/>
        </w:rPr>
      </w:pPr>
      <w:r w:rsidRPr="00C045C4">
        <w:rPr>
          <w:sz w:val="27"/>
          <w:szCs w:val="27"/>
        </w:rPr>
        <w:t>Nghị quyết Trung ương 7</w:t>
      </w:r>
      <w:r>
        <w:rPr>
          <w:sz w:val="27"/>
          <w:szCs w:val="27"/>
        </w:rPr>
        <w:t xml:space="preserve"> (Khóa XII)</w:t>
      </w:r>
      <w:r w:rsidRPr="00C045C4">
        <w:rPr>
          <w:sz w:val="27"/>
          <w:szCs w:val="27"/>
        </w:rPr>
        <w:t xml:space="preserve"> bàn về 3 nội dung chính là: Đề án tập trung xây dựng đội ngũ cán bộ các cấp, nhất là cấp chiến lược đủ phẩm chất, năng lực và uy tín, ngang tầm nhiệm vụ; Đề án cải cách chính sách tiền lương đối với cán bộ, công chức, viên chức và người lao động trong doanh nghiệp; Đề án cải cách chính sách bảo hiểm xã hội.</w:t>
      </w:r>
    </w:p>
    <w:p w:rsidR="0001620C" w:rsidRDefault="009223C6" w:rsidP="0001620C">
      <w:pPr>
        <w:ind w:firstLine="720"/>
        <w:jc w:val="both"/>
        <w:rPr>
          <w:sz w:val="27"/>
          <w:szCs w:val="27"/>
        </w:rPr>
      </w:pPr>
      <w:r>
        <w:rPr>
          <w:b/>
          <w:sz w:val="27"/>
          <w:szCs w:val="27"/>
        </w:rPr>
        <w:t>1</w:t>
      </w:r>
      <w:r w:rsidRPr="007E379F">
        <w:rPr>
          <w:b/>
          <w:sz w:val="27"/>
          <w:szCs w:val="27"/>
        </w:rPr>
        <w:t>.</w:t>
      </w:r>
      <w:r>
        <w:rPr>
          <w:sz w:val="27"/>
          <w:szCs w:val="27"/>
        </w:rPr>
        <w:t xml:space="preserve"> </w:t>
      </w:r>
      <w:r w:rsidRPr="00C045C4">
        <w:rPr>
          <w:sz w:val="27"/>
          <w:szCs w:val="27"/>
        </w:rPr>
        <w:t>Nghị quyết</w:t>
      </w:r>
      <w:r>
        <w:rPr>
          <w:sz w:val="27"/>
          <w:szCs w:val="27"/>
        </w:rPr>
        <w:t xml:space="preserve"> số </w:t>
      </w:r>
      <w:r>
        <w:rPr>
          <w:sz w:val="27"/>
          <w:szCs w:val="27"/>
        </w:rPr>
        <w:t>26</w:t>
      </w:r>
      <w:r w:rsidR="00126F6D">
        <w:rPr>
          <w:sz w:val="27"/>
          <w:szCs w:val="27"/>
        </w:rPr>
        <w:t xml:space="preserve">: </w:t>
      </w:r>
      <w:r>
        <w:rPr>
          <w:sz w:val="27"/>
          <w:szCs w:val="27"/>
        </w:rPr>
        <w:t>Về</w:t>
      </w:r>
      <w:r w:rsidR="0001620C">
        <w:rPr>
          <w:sz w:val="27"/>
          <w:szCs w:val="27"/>
        </w:rPr>
        <w:t xml:space="preserve"> đề </w:t>
      </w:r>
      <w:proofErr w:type="gramStart"/>
      <w:r w:rsidR="0001620C">
        <w:rPr>
          <w:sz w:val="27"/>
          <w:szCs w:val="27"/>
        </w:rPr>
        <w:t>án</w:t>
      </w:r>
      <w:proofErr w:type="gramEnd"/>
      <w:r w:rsidR="0001620C">
        <w:rPr>
          <w:sz w:val="27"/>
          <w:szCs w:val="27"/>
        </w:rPr>
        <w:t xml:space="preserve"> tập trung xây dựng đội ngũ cán bộ các cấp, nhất là cấp chiến lược đủ phẩm chất, năng lực, uy tín, ngang tầm nhiệm vụ:</w:t>
      </w:r>
    </w:p>
    <w:p w:rsidR="0001620C" w:rsidRDefault="00AE6FB2" w:rsidP="0001620C">
      <w:pPr>
        <w:ind w:firstLine="720"/>
        <w:jc w:val="both"/>
        <w:rPr>
          <w:sz w:val="27"/>
          <w:szCs w:val="27"/>
        </w:rPr>
      </w:pPr>
      <w:r>
        <w:rPr>
          <w:sz w:val="27"/>
          <w:szCs w:val="27"/>
        </w:rPr>
        <w:t>Nghị quyết lần này có nhiều nội dung đổi mới quan trọng, có tính đột phá, khả thi và sát với tình hình thực tế</w:t>
      </w:r>
      <w:r w:rsidR="00050777">
        <w:rPr>
          <w:sz w:val="27"/>
          <w:szCs w:val="27"/>
        </w:rPr>
        <w:t>. Nghị quyết nêu rõ: Đội ngũ cán bộ, nhất là cán bộ cấp chiến lược mà chúng ta tập trung xây dựng trong thời gian tới phải có đủ phẩm chấ</w:t>
      </w:r>
      <w:r w:rsidR="005E329E">
        <w:rPr>
          <w:sz w:val="27"/>
          <w:szCs w:val="27"/>
        </w:rPr>
        <w:t>t, năn lực và uy tín, đáp ứng yêu cầu, nhiệm vụ của thời kỳ mới – thời kỳ xây dựng nền dân chủ xã hội chủ nghĩa, phát triển nền kinh tế thị trường định hướng xã hội chủ nghĩa, chủ động, tích cực hội nhập quốc tế, thích ứng với cuộc Cách mạng công nghiệp lần thứ 4, nền kinh tế số, kinh tế tri thức và biến đổi khí hậu, nước biển dâng</w:t>
      </w:r>
      <w:r w:rsidR="00126F6D">
        <w:rPr>
          <w:sz w:val="27"/>
          <w:szCs w:val="27"/>
        </w:rPr>
        <w:t>; giữ gìn an ninh chính trị, trật tự, an toàn xã hội, bảo vệ độc lập, chủ quyền, toàn vẹn lãnh thổ trong bối cảnh tình hình trong nước, khu vực và thế giới diễn biến nhanh chóng, phức tạp, khó lường…</w:t>
      </w:r>
    </w:p>
    <w:p w:rsidR="00126F6D" w:rsidRPr="00C045C4" w:rsidRDefault="00126F6D" w:rsidP="0001620C">
      <w:pPr>
        <w:ind w:firstLine="720"/>
        <w:jc w:val="both"/>
        <w:rPr>
          <w:sz w:val="27"/>
          <w:szCs w:val="27"/>
        </w:rPr>
      </w:pPr>
      <w:r>
        <w:rPr>
          <w:sz w:val="27"/>
          <w:szCs w:val="27"/>
        </w:rPr>
        <w:t>Để thực hiện kết quả Nghị quyết, phải có quyết tâm rất lớn, có sự thống nhất rất cao, lãnh đạo chỉ đạo tập trung, quyết liệt, nói đi đôi với làm, làm cho Nghị quyết lần này thật sự đi vào cuộc sống, tạo chuyển biến rõ rệt, thu được kết quả cụ thể, cán bộ, đảng viên và nhân dân nhìn thấy được, cảm nhận được…</w:t>
      </w:r>
      <w:r w:rsidR="009223C6">
        <w:rPr>
          <w:sz w:val="27"/>
          <w:szCs w:val="27"/>
        </w:rPr>
        <w:t xml:space="preserve"> </w:t>
      </w:r>
      <w:proofErr w:type="gramStart"/>
      <w:r>
        <w:rPr>
          <w:sz w:val="27"/>
          <w:szCs w:val="27"/>
        </w:rPr>
        <w:t>Hội nghị cũng đề ra 8 nhóm giải pháp để thực hiện Nghị quyết này.</w:t>
      </w:r>
      <w:proofErr w:type="gramEnd"/>
    </w:p>
    <w:p w:rsidR="000E110E" w:rsidRDefault="000E110E" w:rsidP="000E110E">
      <w:pPr>
        <w:ind w:firstLine="720"/>
        <w:jc w:val="both"/>
        <w:rPr>
          <w:sz w:val="27"/>
          <w:szCs w:val="27"/>
        </w:rPr>
      </w:pPr>
      <w:r w:rsidRPr="007E379F">
        <w:rPr>
          <w:b/>
          <w:sz w:val="27"/>
          <w:szCs w:val="27"/>
        </w:rPr>
        <w:t>2.</w:t>
      </w:r>
      <w:r>
        <w:rPr>
          <w:sz w:val="27"/>
          <w:szCs w:val="27"/>
        </w:rPr>
        <w:t xml:space="preserve"> </w:t>
      </w:r>
      <w:r w:rsidRPr="00C045C4">
        <w:rPr>
          <w:sz w:val="27"/>
          <w:szCs w:val="27"/>
        </w:rPr>
        <w:t>Nghị quyết</w:t>
      </w:r>
      <w:r>
        <w:rPr>
          <w:sz w:val="27"/>
          <w:szCs w:val="27"/>
        </w:rPr>
        <w:t xml:space="preserve"> số 27: Về đề </w:t>
      </w:r>
      <w:proofErr w:type="gramStart"/>
      <w:r>
        <w:rPr>
          <w:sz w:val="27"/>
          <w:szCs w:val="27"/>
        </w:rPr>
        <w:t>án</w:t>
      </w:r>
      <w:proofErr w:type="gramEnd"/>
      <w:r w:rsidRPr="00C045C4">
        <w:rPr>
          <w:sz w:val="27"/>
          <w:szCs w:val="27"/>
        </w:rPr>
        <w:t xml:space="preserve"> cải cách chính sách tiền lương</w:t>
      </w:r>
      <w:r>
        <w:rPr>
          <w:sz w:val="27"/>
          <w:szCs w:val="27"/>
        </w:rPr>
        <w:t xml:space="preserve"> </w:t>
      </w:r>
      <w:r w:rsidRPr="00C045C4">
        <w:rPr>
          <w:sz w:val="27"/>
          <w:szCs w:val="27"/>
        </w:rPr>
        <w:t>đối với cán bộ, công chức, viên chức và người lao động trong doanh nghiệp</w:t>
      </w:r>
      <w:r>
        <w:rPr>
          <w:sz w:val="27"/>
          <w:szCs w:val="27"/>
        </w:rPr>
        <w:t>:</w:t>
      </w:r>
    </w:p>
    <w:p w:rsidR="000E110E" w:rsidRPr="00C045C4" w:rsidRDefault="000E110E" w:rsidP="000E110E">
      <w:pPr>
        <w:ind w:firstLine="720"/>
        <w:jc w:val="both"/>
        <w:rPr>
          <w:sz w:val="27"/>
          <w:szCs w:val="27"/>
        </w:rPr>
      </w:pPr>
      <w:r w:rsidRPr="00C045C4">
        <w:rPr>
          <w:sz w:val="27"/>
          <w:szCs w:val="27"/>
        </w:rPr>
        <w:t xml:space="preserve"> </w:t>
      </w:r>
      <w:r>
        <w:rPr>
          <w:sz w:val="27"/>
          <w:szCs w:val="27"/>
        </w:rPr>
        <w:t xml:space="preserve"> V</w:t>
      </w:r>
      <w:r w:rsidRPr="00C045C4">
        <w:rPr>
          <w:sz w:val="27"/>
          <w:szCs w:val="27"/>
        </w:rPr>
        <w:t>iệc xây dựng hệ thống chính sách tiền lương quốc gia khoa học, minh bạch, đáp ứng yêu cầu phát triển kinh tế, tạo động lực giải phóng sức sản xuất, nâng cao năng suất lao động, chất lượng nguồn nhân lực là chủ trương rất cần thiết</w:t>
      </w:r>
      <w:r>
        <w:rPr>
          <w:sz w:val="27"/>
          <w:szCs w:val="27"/>
        </w:rPr>
        <w:t>,</w:t>
      </w:r>
      <w:r w:rsidRPr="00C045C4">
        <w:rPr>
          <w:sz w:val="27"/>
          <w:szCs w:val="27"/>
        </w:rPr>
        <w:t xml:space="preserve"> góp phần xây dựng hệ thống chính trị trong sạch, tinh gọn, hoạt động hiệu lực, hiệu quả; phòng chống tham nhũng, lãng phí, thực hành tiến bộ, công bằng xã hội… </w:t>
      </w:r>
      <w:proofErr w:type="gramStart"/>
      <w:r w:rsidRPr="00C045C4">
        <w:rPr>
          <w:sz w:val="27"/>
          <w:szCs w:val="27"/>
        </w:rPr>
        <w:t>Singapo là một trong những quốc gia làm tốt chính sách tiền lương cho công chứ</w:t>
      </w:r>
      <w:r w:rsidR="009223C6">
        <w:rPr>
          <w:sz w:val="27"/>
          <w:szCs w:val="27"/>
        </w:rPr>
        <w:t xml:space="preserve">c minh </w:t>
      </w:r>
      <w:r w:rsidRPr="00C045C4">
        <w:rPr>
          <w:sz w:val="27"/>
          <w:szCs w:val="27"/>
        </w:rPr>
        <w:t>chứng cho những vấn đề mà nghị quyết chúng ta bàn là khả thi.</w:t>
      </w:r>
      <w:proofErr w:type="gramEnd"/>
    </w:p>
    <w:p w:rsidR="000E110E" w:rsidRDefault="000E110E" w:rsidP="000E110E">
      <w:pPr>
        <w:ind w:firstLine="720"/>
        <w:jc w:val="both"/>
        <w:rPr>
          <w:sz w:val="27"/>
          <w:szCs w:val="27"/>
        </w:rPr>
      </w:pPr>
      <w:r w:rsidRPr="00C045C4">
        <w:rPr>
          <w:sz w:val="27"/>
          <w:szCs w:val="27"/>
        </w:rPr>
        <w:lastRenderedPageBreak/>
        <w:t>Hội nghị lần này đề ra nhiều điểm mới quan trọng so với các lần cải cách trước đây, cụ thể:</w:t>
      </w:r>
    </w:p>
    <w:p w:rsidR="000E110E" w:rsidRPr="007C3B1B" w:rsidRDefault="000E110E" w:rsidP="000E110E">
      <w:pPr>
        <w:ind w:firstLine="720"/>
        <w:jc w:val="both"/>
        <w:rPr>
          <w:sz w:val="27"/>
          <w:szCs w:val="27"/>
        </w:rPr>
      </w:pPr>
      <w:r>
        <w:rPr>
          <w:sz w:val="27"/>
          <w:szCs w:val="27"/>
        </w:rPr>
        <w:t>-</w:t>
      </w:r>
      <w:r w:rsidR="009223C6">
        <w:rPr>
          <w:sz w:val="27"/>
          <w:szCs w:val="27"/>
        </w:rPr>
        <w:t xml:space="preserve"> </w:t>
      </w:r>
      <w:r w:rsidRPr="007C3B1B">
        <w:rPr>
          <w:sz w:val="27"/>
          <w:szCs w:val="27"/>
        </w:rPr>
        <w:t>Đối với khu vực công:</w:t>
      </w:r>
    </w:p>
    <w:p w:rsidR="000E110E" w:rsidRPr="00C045C4" w:rsidRDefault="000E110E" w:rsidP="000E110E">
      <w:pPr>
        <w:ind w:firstLine="720"/>
        <w:jc w:val="both"/>
        <w:rPr>
          <w:sz w:val="27"/>
          <w:szCs w:val="27"/>
        </w:rPr>
      </w:pPr>
      <w:r w:rsidRPr="00C045C4">
        <w:rPr>
          <w:sz w:val="27"/>
          <w:szCs w:val="27"/>
        </w:rPr>
        <w:t>+ Thiết kế cơ cấu tiền lương và tiền thưởng mới với tỷ lệ hợp lý hơn giữa lương cơ bản, các khoản phụ cấp và tiền thưởng.</w:t>
      </w:r>
    </w:p>
    <w:p w:rsidR="000E110E" w:rsidRPr="00C045C4" w:rsidRDefault="000E110E" w:rsidP="000E110E">
      <w:pPr>
        <w:ind w:firstLine="720"/>
        <w:jc w:val="both"/>
        <w:rPr>
          <w:sz w:val="27"/>
          <w:szCs w:val="27"/>
        </w:rPr>
      </w:pPr>
      <w:r w:rsidRPr="00C045C4">
        <w:rPr>
          <w:sz w:val="27"/>
          <w:szCs w:val="27"/>
        </w:rPr>
        <w:t>+ Xây dựng hệ thống bảng lương mới, quy định mức lương bằng số tiền tuyệt đối theo vị trí việc làm, chức danh, chức vụ lãnh đạo trên cơ sở xác định mức lương thấp nhất của công chức viên chức trong khu vực công không thấp hơn mức tiền lương thấp nhất của lao động qua đào tạo trong khu vực doanh nghiệp.</w:t>
      </w:r>
    </w:p>
    <w:p w:rsidR="000E110E" w:rsidRPr="00C045C4" w:rsidRDefault="000E110E" w:rsidP="000E110E">
      <w:pPr>
        <w:ind w:firstLine="720"/>
        <w:jc w:val="both"/>
        <w:rPr>
          <w:sz w:val="27"/>
          <w:szCs w:val="27"/>
        </w:rPr>
      </w:pPr>
      <w:r w:rsidRPr="00C045C4">
        <w:rPr>
          <w:sz w:val="27"/>
          <w:szCs w:val="27"/>
        </w:rPr>
        <w:t>+</w:t>
      </w:r>
      <w:r>
        <w:rPr>
          <w:sz w:val="27"/>
          <w:szCs w:val="27"/>
        </w:rPr>
        <w:t xml:space="preserve"> </w:t>
      </w:r>
      <w:r w:rsidRPr="00C045C4">
        <w:rPr>
          <w:sz w:val="27"/>
          <w:szCs w:val="27"/>
        </w:rPr>
        <w:t>Mở rộng quan hệ tiền lương từng bước tiềm cận với quan hệ tiền lương của khu vực thị trường, gồm một bảng lương chức vụ áp dụng đối với cán bộ, công chức, viên chức giữ chức vụ lãnh đạo trong hệ thống chính trị từ Trung ương đến cấp xã; một bảng lương chuyên môn, nghiệp vụ áp dụng chung đối với công chức, viên chức không giữ chức danh, chức vụ lãnh đạo; và 3 bảng lương đối với LLVT…</w:t>
      </w:r>
    </w:p>
    <w:p w:rsidR="000E110E" w:rsidRPr="00C045C4" w:rsidRDefault="000E110E" w:rsidP="000E110E">
      <w:pPr>
        <w:ind w:firstLine="720"/>
        <w:jc w:val="both"/>
        <w:rPr>
          <w:sz w:val="27"/>
          <w:szCs w:val="27"/>
        </w:rPr>
      </w:pPr>
      <w:r>
        <w:rPr>
          <w:sz w:val="27"/>
          <w:szCs w:val="27"/>
        </w:rPr>
        <w:t>-</w:t>
      </w:r>
      <w:r w:rsidR="009223C6">
        <w:rPr>
          <w:sz w:val="27"/>
          <w:szCs w:val="27"/>
        </w:rPr>
        <w:t xml:space="preserve"> </w:t>
      </w:r>
      <w:r w:rsidRPr="00C045C4">
        <w:rPr>
          <w:sz w:val="27"/>
          <w:szCs w:val="27"/>
        </w:rPr>
        <w:t>Đối với khu vực doanh nghiệp:</w:t>
      </w:r>
    </w:p>
    <w:p w:rsidR="000E110E" w:rsidRPr="00C045C4" w:rsidRDefault="000E110E" w:rsidP="000E110E">
      <w:pPr>
        <w:ind w:firstLine="720"/>
        <w:jc w:val="both"/>
        <w:rPr>
          <w:sz w:val="27"/>
          <w:szCs w:val="27"/>
        </w:rPr>
      </w:pPr>
      <w:r w:rsidRPr="00C045C4">
        <w:rPr>
          <w:sz w:val="27"/>
          <w:szCs w:val="27"/>
        </w:rPr>
        <w:t xml:space="preserve">+ Tiếp tục hoàn thiện chính sách về tiền lương tối thiểu vùng </w:t>
      </w:r>
      <w:proofErr w:type="gramStart"/>
      <w:r w:rsidRPr="00C045C4">
        <w:rPr>
          <w:sz w:val="27"/>
          <w:szCs w:val="27"/>
        </w:rPr>
        <w:t>theo</w:t>
      </w:r>
      <w:proofErr w:type="gramEnd"/>
      <w:r w:rsidRPr="00C045C4">
        <w:rPr>
          <w:sz w:val="27"/>
          <w:szCs w:val="27"/>
        </w:rPr>
        <w:t xml:space="preserve"> tháng để bảo vệ người lao động yếu thế; bổ sung quy định mức lương tối thiểu vùng theo giờ; kiện toàn chức năng, nhiệm vụ, cơ cấu tổ chức của Hồi đồng Tiền lương quốc gia.</w:t>
      </w:r>
    </w:p>
    <w:p w:rsidR="000E110E" w:rsidRPr="00C045C4" w:rsidRDefault="000E110E" w:rsidP="000E110E">
      <w:pPr>
        <w:ind w:firstLine="720"/>
        <w:jc w:val="both"/>
        <w:rPr>
          <w:sz w:val="27"/>
          <w:szCs w:val="27"/>
        </w:rPr>
      </w:pPr>
      <w:r w:rsidRPr="00C045C4">
        <w:rPr>
          <w:sz w:val="27"/>
          <w:szCs w:val="27"/>
        </w:rPr>
        <w:t>+ Doanh nghiệ</w:t>
      </w:r>
      <w:r w:rsidR="009223C6">
        <w:rPr>
          <w:sz w:val="27"/>
          <w:szCs w:val="27"/>
        </w:rPr>
        <w:t xml:space="preserve">p </w:t>
      </w:r>
      <w:r w:rsidRPr="00C045C4">
        <w:rPr>
          <w:sz w:val="27"/>
          <w:szCs w:val="27"/>
        </w:rPr>
        <w:t>(kể cả doanh nghiệp 100% vốn nhà nước) được tự chủ quyết định chính sách tiền lương (trong đó có thang, bảng lương, định mức lao động), trả lương theo năng suất lao động và hiệu quả sản xuất kinh doanh của doanh nghiệp trên cơ sở mức tiền lương tối thiểu vùng do Nhà nước công bố và thỏa ước lao động; tăng cường vai trò, năng lực của tổ chức công đoàn và công tác kiểm tra của các cơ quan quản lý Nhà nước.</w:t>
      </w:r>
    </w:p>
    <w:p w:rsidR="000E110E" w:rsidRDefault="000E110E" w:rsidP="000E110E">
      <w:pPr>
        <w:ind w:firstLine="720"/>
        <w:jc w:val="both"/>
        <w:rPr>
          <w:sz w:val="27"/>
          <w:szCs w:val="27"/>
        </w:rPr>
      </w:pPr>
      <w:r w:rsidRPr="00C045C4">
        <w:rPr>
          <w:sz w:val="27"/>
          <w:szCs w:val="27"/>
        </w:rPr>
        <w:t>+ Đối với doanh nghiệp nhà nước, Nhà nước thực hiện điều tiết lương thông qua công cụ quản lý; tách bạch tiền lương của người đại diện vốn Nhà nước với tiền lương của ban điều hành; thực hiện nguyên tắc ai thuê, bổ nhiệm thì người đó đánh giá và trả lương</w:t>
      </w:r>
      <w:r>
        <w:rPr>
          <w:sz w:val="27"/>
          <w:szCs w:val="27"/>
        </w:rPr>
        <w:t>…</w:t>
      </w:r>
    </w:p>
    <w:p w:rsidR="000E110E" w:rsidRDefault="000E110E" w:rsidP="000E110E">
      <w:pPr>
        <w:ind w:firstLine="720"/>
        <w:jc w:val="both"/>
        <w:rPr>
          <w:sz w:val="27"/>
          <w:szCs w:val="27"/>
        </w:rPr>
      </w:pPr>
      <w:r w:rsidRPr="007E379F">
        <w:rPr>
          <w:b/>
          <w:sz w:val="27"/>
          <w:szCs w:val="27"/>
        </w:rPr>
        <w:t>3.</w:t>
      </w:r>
      <w:r>
        <w:rPr>
          <w:sz w:val="27"/>
          <w:szCs w:val="27"/>
        </w:rPr>
        <w:t xml:space="preserve"> Nghị quyết số 28: </w:t>
      </w:r>
      <w:r w:rsidR="00C1355F">
        <w:rPr>
          <w:sz w:val="27"/>
          <w:szCs w:val="27"/>
        </w:rPr>
        <w:t>Về</w:t>
      </w:r>
      <w:r>
        <w:rPr>
          <w:sz w:val="27"/>
          <w:szCs w:val="27"/>
        </w:rPr>
        <w:t xml:space="preserve"> đề </w:t>
      </w:r>
      <w:proofErr w:type="gramStart"/>
      <w:r>
        <w:rPr>
          <w:sz w:val="27"/>
          <w:szCs w:val="27"/>
        </w:rPr>
        <w:t>án</w:t>
      </w:r>
      <w:proofErr w:type="gramEnd"/>
      <w:r>
        <w:rPr>
          <w:sz w:val="27"/>
          <w:szCs w:val="27"/>
        </w:rPr>
        <w:t xml:space="preserve"> cải cách chính sách bảo hiểm xã hội:</w:t>
      </w:r>
    </w:p>
    <w:p w:rsidR="000E110E" w:rsidRDefault="007E379F" w:rsidP="007E379F">
      <w:pPr>
        <w:pStyle w:val="selectionshareable"/>
        <w:shd w:val="clear" w:color="auto" w:fill="FAFAFA"/>
        <w:spacing w:before="120" w:beforeAutospacing="0" w:after="0" w:afterAutospacing="0"/>
        <w:ind w:firstLine="720"/>
        <w:jc w:val="both"/>
        <w:rPr>
          <w:color w:val="111111"/>
          <w:sz w:val="27"/>
          <w:szCs w:val="27"/>
        </w:rPr>
      </w:pPr>
      <w:r>
        <w:rPr>
          <w:sz w:val="27"/>
          <w:szCs w:val="27"/>
        </w:rPr>
        <w:t xml:space="preserve">Mục đích </w:t>
      </w:r>
      <w:r>
        <w:rPr>
          <w:color w:val="111111"/>
          <w:sz w:val="27"/>
          <w:szCs w:val="27"/>
        </w:rPr>
        <w:t>t</w:t>
      </w:r>
      <w:r w:rsidR="000E110E" w:rsidRPr="006D2D19">
        <w:rPr>
          <w:color w:val="111111"/>
          <w:sz w:val="27"/>
          <w:szCs w:val="27"/>
        </w:rPr>
        <w:t xml:space="preserve">hực hiện đồng bộ các nội dung cải cách để mở rộng diện bao phủ bảo hiểm xã hội, hướng tới mục tiêu bảo hiểm xã hội toàn dân; bảo đảm cân đối Quỹ bảo hiểm xã hội trong dài hạn, điều chỉnh lương hưu độc lập tương đối trong mối tương quan với tiền lương của người đang làm việc, thay đổi cách thức điều </w:t>
      </w:r>
      <w:r w:rsidR="000E110E" w:rsidRPr="006D2D19">
        <w:rPr>
          <w:color w:val="111111"/>
          <w:sz w:val="27"/>
          <w:szCs w:val="27"/>
        </w:rPr>
        <w:lastRenderedPageBreak/>
        <w:t>chỉ</w:t>
      </w:r>
      <w:r w:rsidR="006D2D19">
        <w:rPr>
          <w:color w:val="111111"/>
          <w:sz w:val="27"/>
          <w:szCs w:val="27"/>
        </w:rPr>
        <w:t>nh lương hưu theo hướng chia sẻ, góp phần quan trọng vào việc thực hiện tiến bộ và công bằng xã hội.</w:t>
      </w:r>
    </w:p>
    <w:p w:rsidR="001D46BF" w:rsidRDefault="006D2D19" w:rsidP="0090086A">
      <w:pPr>
        <w:pStyle w:val="selectionshareable"/>
        <w:shd w:val="clear" w:color="auto" w:fill="FAFAFA"/>
        <w:spacing w:before="120" w:beforeAutospacing="0" w:after="0" w:afterAutospacing="0"/>
        <w:jc w:val="both"/>
        <w:rPr>
          <w:color w:val="111111"/>
          <w:sz w:val="27"/>
          <w:szCs w:val="27"/>
        </w:rPr>
      </w:pPr>
      <w:r>
        <w:rPr>
          <w:color w:val="111111"/>
          <w:sz w:val="27"/>
          <w:szCs w:val="27"/>
        </w:rPr>
        <w:tab/>
        <w:t>Phát triển hệ thống chính sách bảo hiểm linh hoạt, đa dạng, đa tầng, hiện đại và hội nhập quốc tế theo nguyên tắc</w:t>
      </w:r>
      <w:r w:rsidR="0090086A">
        <w:rPr>
          <w:color w:val="111111"/>
          <w:sz w:val="27"/>
          <w:szCs w:val="27"/>
        </w:rPr>
        <w:t xml:space="preserve"> “đóng – hưởng”, “công bằng”, “bình đẳng”, “chia sẻ” và “bền vững”. </w:t>
      </w:r>
    </w:p>
    <w:p w:rsidR="000E110E" w:rsidRDefault="000E110E" w:rsidP="0090086A">
      <w:pPr>
        <w:pStyle w:val="selectionshareable"/>
        <w:shd w:val="clear" w:color="auto" w:fill="FAFAFA"/>
        <w:spacing w:before="120" w:beforeAutospacing="0" w:after="0" w:afterAutospacing="0"/>
        <w:jc w:val="both"/>
        <w:rPr>
          <w:sz w:val="27"/>
          <w:szCs w:val="27"/>
        </w:rPr>
      </w:pPr>
      <w:r>
        <w:rPr>
          <w:sz w:val="27"/>
          <w:szCs w:val="27"/>
        </w:rPr>
        <w:tab/>
      </w:r>
      <w:r w:rsidR="001D46BF">
        <w:rPr>
          <w:sz w:val="27"/>
          <w:szCs w:val="27"/>
        </w:rPr>
        <w:t xml:space="preserve">Sửa đổi quy định về điều kiện thời gian tham gia bảo hiểm xã hội tối thiểu để hưởng chế độ hưu trí </w:t>
      </w:r>
      <w:proofErr w:type="gramStart"/>
      <w:r w:rsidR="001D46BF">
        <w:rPr>
          <w:sz w:val="27"/>
          <w:szCs w:val="27"/>
        </w:rPr>
        <w:t>theo</w:t>
      </w:r>
      <w:proofErr w:type="gramEnd"/>
      <w:r w:rsidR="001D46BF">
        <w:rPr>
          <w:sz w:val="27"/>
          <w:szCs w:val="27"/>
        </w:rPr>
        <w:t xml:space="preserve"> hướng linh hoạt, đồng thời điều chỉnh công thức tính lương hưu theo nguyên tắc công bằng, “đóng – hưởng”, “chia sẻ”. Mở rộng </w:t>
      </w:r>
      <w:r w:rsidR="007620DC">
        <w:rPr>
          <w:sz w:val="27"/>
          <w:szCs w:val="27"/>
        </w:rPr>
        <w:t>đối tượng tham gia bảo hiểm xã hội bắt buộc sang các nhóm đối tượng khác có nhu cầu và khả năng.</w:t>
      </w:r>
    </w:p>
    <w:p w:rsidR="007620DC" w:rsidRPr="00C045C4" w:rsidRDefault="007620DC" w:rsidP="007E379F">
      <w:pPr>
        <w:pStyle w:val="selectionshareable"/>
        <w:shd w:val="clear" w:color="auto" w:fill="FAFAFA"/>
        <w:spacing w:before="120" w:beforeAutospacing="0" w:after="0" w:afterAutospacing="0"/>
        <w:ind w:firstLine="720"/>
        <w:jc w:val="both"/>
        <w:rPr>
          <w:sz w:val="27"/>
          <w:szCs w:val="27"/>
        </w:rPr>
      </w:pPr>
      <w:r>
        <w:rPr>
          <w:sz w:val="27"/>
          <w:szCs w:val="27"/>
        </w:rPr>
        <w:t>Để đảm bảo cân đối tài chính Quỹ BHX</w:t>
      </w:r>
      <w:r w:rsidR="00C1355F">
        <w:rPr>
          <w:sz w:val="27"/>
          <w:szCs w:val="27"/>
        </w:rPr>
        <w:t xml:space="preserve">H trong dài hạn cần khẩn trương </w:t>
      </w:r>
      <w:bookmarkStart w:id="0" w:name="_GoBack"/>
      <w:bookmarkEnd w:id="0"/>
      <w:r>
        <w:rPr>
          <w:sz w:val="27"/>
          <w:szCs w:val="27"/>
        </w:rPr>
        <w:t>bổ sung, sửa đổi, khắc phục các bất hợp lý về chính sách bảo hiểm hưu trí hiện nay theo hướng linh hoạt hơn về điều kiện hưởng hưu trí, chặt chẽ và đúng đắn hơn trong quy định hưởng bảo hiểm xã hội một lần, tăng tuổi nghỉ hưu bình quân theo lộ trình, bước đi phù hợp với từng nhóm đối tượng, ngành nghề cụ thể để tăng tính bền vững của chính sách bảo hiểm xã hội, thực hiện bình đẳng giới, ứng phó với quá trình già hóa dân số, những biến đổi nhanh chóng</w:t>
      </w:r>
      <w:r w:rsidR="007E379F">
        <w:rPr>
          <w:sz w:val="27"/>
          <w:szCs w:val="27"/>
        </w:rPr>
        <w:t xml:space="preserve"> của thị trường lao động và sự xuất hiện của nhiều hình thức quan hệ lao động mới dưới tác động của cuộc Cách mạng công nghiệp lần thứ tư.</w:t>
      </w:r>
    </w:p>
    <w:p w:rsidR="0001620C" w:rsidRPr="0001620C" w:rsidRDefault="0001620C" w:rsidP="0001620C">
      <w:pPr>
        <w:ind w:firstLine="720"/>
      </w:pPr>
    </w:p>
    <w:sectPr w:rsidR="0001620C" w:rsidRPr="0001620C" w:rsidSect="009223C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C3"/>
    <w:rsid w:val="0001620C"/>
    <w:rsid w:val="00050777"/>
    <w:rsid w:val="000E110E"/>
    <w:rsid w:val="00126F6D"/>
    <w:rsid w:val="001D46BF"/>
    <w:rsid w:val="001F35C3"/>
    <w:rsid w:val="005E329E"/>
    <w:rsid w:val="006D2D19"/>
    <w:rsid w:val="007620DC"/>
    <w:rsid w:val="007D28C4"/>
    <w:rsid w:val="007E379F"/>
    <w:rsid w:val="0090086A"/>
    <w:rsid w:val="009223C6"/>
    <w:rsid w:val="00AE6FB2"/>
    <w:rsid w:val="00C1355F"/>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0E110E"/>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922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0E110E"/>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922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16359-8516-4D04-A06A-657C7482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ismail - [2010]</cp:lastModifiedBy>
  <cp:revision>4</cp:revision>
  <dcterms:created xsi:type="dcterms:W3CDTF">2018-08-17T06:45:00Z</dcterms:created>
  <dcterms:modified xsi:type="dcterms:W3CDTF">2018-08-17T08:48:00Z</dcterms:modified>
</cp:coreProperties>
</file>